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1356F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71356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71356F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71356F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Eylül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2015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0A126520" wp14:editId="7EBE32F2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71356F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Eylül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28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Eylül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71356F">
        <w:rPr>
          <w:rFonts w:ascii="Times New Roman" w:hAnsi="Times New Roman" w:cs="Times New Roman"/>
        </w:rPr>
        <w:t>Ağustos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71356F">
        <w:rPr>
          <w:rFonts w:ascii="Times New Roman" w:hAnsi="Times New Roman" w:cs="Times New Roman"/>
        </w:rPr>
        <w:t>82,1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71356F">
        <w:rPr>
          <w:rFonts w:ascii="Times New Roman" w:hAnsi="Times New Roman" w:cs="Times New Roman"/>
        </w:rPr>
        <w:t>Eylül ayında 1,7</w:t>
      </w:r>
      <w:r>
        <w:rPr>
          <w:rFonts w:ascii="Times New Roman" w:hAnsi="Times New Roman" w:cs="Times New Roman"/>
        </w:rPr>
        <w:t xml:space="preserve"> puan </w:t>
      </w:r>
      <w:r w:rsidR="00660880">
        <w:rPr>
          <w:rFonts w:ascii="Times New Roman" w:hAnsi="Times New Roman" w:cs="Times New Roman"/>
        </w:rPr>
        <w:t>azalarak</w:t>
      </w:r>
      <w:r w:rsidR="008C3A4E">
        <w:rPr>
          <w:rFonts w:ascii="Times New Roman" w:hAnsi="Times New Roman" w:cs="Times New Roman"/>
        </w:rPr>
        <w:t xml:space="preserve"> 8</w:t>
      </w:r>
      <w:r w:rsidR="0071356F">
        <w:rPr>
          <w:rFonts w:ascii="Times New Roman" w:hAnsi="Times New Roman" w:cs="Times New Roman"/>
        </w:rPr>
        <w:t>0,4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660880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71356F">
        <w:rPr>
          <w:rFonts w:ascii="Times New Roman" w:hAnsi="Times New Roman" w:cs="Times New Roman"/>
        </w:rPr>
        <w:t xml:space="preserve"> yılın aynı dönemine göre ise 84,1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71356F">
        <w:rPr>
          <w:rFonts w:ascii="Times New Roman" w:hAnsi="Times New Roman" w:cs="Times New Roman"/>
        </w:rPr>
        <w:t>inşaat sektörü güven endeksi 3,7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086B75">
        <w:rPr>
          <w:rFonts w:ascii="Times New Roman" w:hAnsi="Times New Roman" w:cs="Times New Roman"/>
        </w:rPr>
        <w:t>düşerek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660880">
        <w:rPr>
          <w:rFonts w:ascii="Times New Roman" w:hAnsi="Times New Roman" w:cs="Times New Roman"/>
        </w:rPr>
        <w:t>zde 4</w:t>
      </w:r>
      <w:r w:rsidR="0071356F">
        <w:rPr>
          <w:rFonts w:ascii="Times New Roman" w:hAnsi="Times New Roman" w:cs="Times New Roman"/>
        </w:rPr>
        <w:t>,4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</w:t>
      </w:r>
      <w:r w:rsidR="0071356F">
        <w:rPr>
          <w:rFonts w:ascii="Times New Roman" w:hAnsi="Times New Roman" w:cs="Times New Roman"/>
        </w:rPr>
        <w:t>zalmıştır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</w:rPr>
        <w:t>5</w:t>
      </w:r>
      <w:r w:rsidRPr="002B5EAF">
        <w:rPr>
          <w:rFonts w:ascii="Times New Roman" w:hAnsi="Times New Roman" w:cs="Times New Roman"/>
        </w:rPr>
        <w:t xml:space="preserve"> yılı </w:t>
      </w:r>
      <w:r w:rsidR="0071356F">
        <w:rPr>
          <w:rFonts w:ascii="Times New Roman" w:hAnsi="Times New Roman" w:cs="Times New Roman"/>
        </w:rPr>
        <w:t>Eylül ayında bir önceki aya göre 4,9</w:t>
      </w:r>
      <w:r w:rsidRPr="002B5EAF">
        <w:rPr>
          <w:rFonts w:ascii="Times New Roman" w:hAnsi="Times New Roman" w:cs="Times New Roman"/>
        </w:rPr>
        <w:t xml:space="preserve"> puan </w:t>
      </w:r>
      <w:r w:rsidR="0071356F">
        <w:rPr>
          <w:rFonts w:ascii="Times New Roman" w:hAnsi="Times New Roman" w:cs="Times New Roman"/>
        </w:rPr>
        <w:t>azalarak 77,2</w:t>
      </w:r>
      <w:r w:rsidRPr="002B5EAF">
        <w:rPr>
          <w:rFonts w:ascii="Times New Roman" w:hAnsi="Times New Roman" w:cs="Times New Roman"/>
        </w:rPr>
        <w:t xml:space="preserve"> puana </w:t>
      </w:r>
      <w:r w:rsidR="005148AF">
        <w:rPr>
          <w:rFonts w:ascii="Times New Roman" w:hAnsi="Times New Roman" w:cs="Times New Roman"/>
        </w:rPr>
        <w:t>gerilemiştir</w:t>
      </w:r>
      <w:r w:rsidRPr="002B5EAF">
        <w:rPr>
          <w:rFonts w:ascii="Times New Roman" w:hAnsi="Times New Roman" w:cs="Times New Roman"/>
        </w:rPr>
        <w:t>. 201</w:t>
      </w:r>
      <w:r w:rsidR="00A270E3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</w:t>
      </w:r>
      <w:r w:rsidR="0071356F">
        <w:rPr>
          <w:rFonts w:ascii="Times New Roman" w:hAnsi="Times New Roman" w:cs="Times New Roman"/>
        </w:rPr>
        <w:t>Eylül</w:t>
      </w:r>
      <w:r w:rsidRPr="002B5EAF">
        <w:rPr>
          <w:rFonts w:ascii="Times New Roman" w:hAnsi="Times New Roman" w:cs="Times New Roman"/>
        </w:rPr>
        <w:t xml:space="preserve"> ayı verilerine göre incelendiğinde ise, yüzde </w:t>
      </w:r>
      <w:r w:rsidR="0071356F">
        <w:rPr>
          <w:rFonts w:ascii="Times New Roman" w:eastAsia="Times New Roman" w:hAnsi="Times New Roman" w:cs="Times New Roman"/>
          <w:color w:val="000000"/>
        </w:rPr>
        <w:t>4</w:t>
      </w:r>
      <w:r w:rsidR="00A270E3">
        <w:rPr>
          <w:rFonts w:ascii="Times New Roman" w:eastAsia="Times New Roman" w:hAnsi="Times New Roman" w:cs="Times New Roman"/>
          <w:color w:val="000000"/>
        </w:rPr>
        <w:t>,</w:t>
      </w:r>
      <w:r w:rsidR="0071356F">
        <w:rPr>
          <w:rFonts w:ascii="Times New Roman" w:eastAsia="Times New Roman" w:hAnsi="Times New Roman" w:cs="Times New Roman"/>
          <w:color w:val="000000"/>
        </w:rPr>
        <w:t>6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71356F">
        <w:rPr>
          <w:rFonts w:ascii="Times New Roman" w:eastAsia="Times New Roman" w:hAnsi="Times New Roman" w:cs="Times New Roman"/>
          <w:color w:val="000000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1C5D32">
        <w:rPr>
          <w:rFonts w:ascii="Times New Roman" w:hAnsi="Times New Roman" w:cs="Times New Roman"/>
          <w:sz w:val="22"/>
          <w:szCs w:val="22"/>
        </w:rPr>
        <w:t>Eylül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1C5D32">
        <w:rPr>
          <w:rFonts w:ascii="Times New Roman" w:hAnsi="Times New Roman" w:cs="Times New Roman"/>
          <w:sz w:val="22"/>
          <w:szCs w:val="22"/>
        </w:rPr>
        <w:t>Eylül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1C5D32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6EBEE3FB" wp14:editId="3C38C340">
            <wp:extent cx="5773003" cy="2477068"/>
            <wp:effectExtent l="0" t="0" r="1841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1C5D32">
        <w:rPr>
          <w:rFonts w:ascii="Times New Roman" w:hAnsi="Times New Roman" w:cs="Times New Roman"/>
        </w:rPr>
        <w:t>Ağustos 2015’te 63,6</w:t>
      </w:r>
      <w:r>
        <w:rPr>
          <w:rFonts w:ascii="Times New Roman" w:hAnsi="Times New Roman" w:cs="Times New Roman"/>
        </w:rPr>
        <w:t xml:space="preserve"> puan olan alınan</w:t>
      </w:r>
      <w:r w:rsidR="00B05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siparişlerin mevcut düzeyinin, </w:t>
      </w:r>
      <w:r w:rsidR="001C5D32">
        <w:rPr>
          <w:rFonts w:ascii="Times New Roman" w:hAnsi="Times New Roman" w:cs="Times New Roman"/>
        </w:rPr>
        <w:t>Eylül 2015’te 0,3</w:t>
      </w:r>
      <w:r>
        <w:rPr>
          <w:rFonts w:ascii="Times New Roman" w:hAnsi="Times New Roman" w:cs="Times New Roman"/>
        </w:rPr>
        <w:t xml:space="preserve"> puan </w:t>
      </w:r>
      <w:r w:rsidR="00165BA5">
        <w:rPr>
          <w:rFonts w:ascii="Times New Roman" w:hAnsi="Times New Roman" w:cs="Times New Roman"/>
        </w:rPr>
        <w:t>arttığı ve 63</w:t>
      </w:r>
      <w:r w:rsidR="00D00F4A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165BA5">
        <w:rPr>
          <w:rFonts w:ascii="Times New Roman" w:hAnsi="Times New Roman" w:cs="Times New Roman"/>
        </w:rPr>
        <w:t>Ağustos 2015’te 100,6</w:t>
      </w:r>
      <w:r>
        <w:rPr>
          <w:rFonts w:ascii="Times New Roman" w:hAnsi="Times New Roman" w:cs="Times New Roman"/>
        </w:rPr>
        <w:t xml:space="preserve"> puan iken, </w:t>
      </w:r>
      <w:r w:rsidR="00165BA5">
        <w:rPr>
          <w:rFonts w:ascii="Times New Roman" w:hAnsi="Times New Roman" w:cs="Times New Roman"/>
        </w:rPr>
        <w:t>Eylül</w:t>
      </w:r>
      <w:r w:rsidR="006178F0">
        <w:rPr>
          <w:rFonts w:ascii="Times New Roman" w:hAnsi="Times New Roman" w:cs="Times New Roman"/>
        </w:rPr>
        <w:t xml:space="preserve"> 2015’te yüzde </w:t>
      </w:r>
      <w:r w:rsidR="00165BA5">
        <w:rPr>
          <w:rFonts w:ascii="Times New Roman" w:hAnsi="Times New Roman" w:cs="Times New Roman"/>
        </w:rPr>
        <w:t>3</w:t>
      </w:r>
      <w:r w:rsidR="007C40D1">
        <w:rPr>
          <w:rFonts w:ascii="Times New Roman" w:hAnsi="Times New Roman" w:cs="Times New Roman"/>
        </w:rPr>
        <w:t>,</w:t>
      </w:r>
      <w:r w:rsidR="00BC452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oranında </w:t>
      </w:r>
      <w:r w:rsidR="00165BA5">
        <w:rPr>
          <w:rFonts w:ascii="Times New Roman" w:hAnsi="Times New Roman" w:cs="Times New Roman"/>
        </w:rPr>
        <w:t>azalarak 96</w:t>
      </w:r>
      <w:r w:rsidR="00BC452F">
        <w:rPr>
          <w:rFonts w:ascii="Times New Roman" w:hAnsi="Times New Roman" w:cs="Times New Roman"/>
        </w:rPr>
        <w:t>,</w:t>
      </w:r>
      <w:r w:rsidR="00165BA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7542F0">
        <w:fldChar w:fldCharType="begin"/>
      </w:r>
      <w:r w:rsidR="007542F0">
        <w:instrText xml:space="preserve"> SEQ Tablo \* ARABIC </w:instrText>
      </w:r>
      <w:r w:rsidR="007542F0">
        <w:fldChar w:fldCharType="separate"/>
      </w:r>
      <w:r>
        <w:rPr>
          <w:noProof/>
        </w:rPr>
        <w:t>1</w:t>
      </w:r>
      <w:r w:rsidR="007542F0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165BA5">
        <w:t>Ağustos</w:t>
      </w:r>
      <w:r>
        <w:t>-</w:t>
      </w:r>
      <w:r w:rsidR="00165BA5">
        <w:t>Eylül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165BA5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Ağu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165BA5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Eyl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65BA5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65BA5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165BA5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="00DC3CEB"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165BA5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B8120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65B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165BA5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  <w:r w:rsidR="00DC3CEB" w:rsidRPr="00DC3CE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00F4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165BA5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100,6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165BA5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96,9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</w:t>
      </w:r>
      <w:bookmarkStart w:id="0" w:name="_GoBack"/>
      <w:bookmarkEnd w:id="0"/>
      <w:r w:rsidRPr="002B5EAF">
        <w:t>en endeksi</w:t>
      </w:r>
    </w:p>
    <w:p w:rsidR="00415908" w:rsidRDefault="00EE3747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415908" w:rsidRPr="002B5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>Eylül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2014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4701F9">
        <w:rPr>
          <w:rFonts w:ascii="Times New Roman" w:hAnsi="Times New Roman" w:cs="Times New Roman"/>
        </w:rPr>
        <w:t>Eylül ayına göre yüzde 3,2</w:t>
      </w:r>
      <w:r w:rsidR="00BB0798">
        <w:rPr>
          <w:rFonts w:ascii="Times New Roman" w:hAnsi="Times New Roman" w:cs="Times New Roman"/>
        </w:rPr>
        <w:t xml:space="preserve"> oranında </w:t>
      </w:r>
      <w:r w:rsidR="004701F9">
        <w:rPr>
          <w:rFonts w:ascii="Times New Roman" w:hAnsi="Times New Roman" w:cs="Times New Roman"/>
        </w:rPr>
        <w:t>düşüş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(3,2 puan) ve 97</w:t>
      </w:r>
      <w:r w:rsidR="00647A5C">
        <w:rPr>
          <w:rFonts w:ascii="Times New Roman" w:hAnsi="Times New Roman" w:cs="Times New Roman"/>
        </w:rPr>
        <w:t>,7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4701F9">
        <w:rPr>
          <w:rFonts w:ascii="Times New Roman" w:hAnsi="Times New Roman" w:cs="Times New Roman"/>
        </w:rPr>
        <w:t>düştüğü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332D6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4701F9">
        <w:rPr>
          <w:rFonts w:ascii="Times New Roman" w:hAnsi="Times New Roman" w:cs="Times New Roman"/>
        </w:rPr>
        <w:t>Ağustos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4701F9">
        <w:rPr>
          <w:rFonts w:ascii="Times New Roman" w:hAnsi="Times New Roman" w:cs="Times New Roman"/>
        </w:rPr>
        <w:t>2,3</w:t>
      </w:r>
      <w:r w:rsidR="00415908" w:rsidRPr="002B5EAF">
        <w:rPr>
          <w:rFonts w:ascii="Times New Roman" w:hAnsi="Times New Roman" w:cs="Times New Roman"/>
        </w:rPr>
        <w:t xml:space="preserve"> oranında </w:t>
      </w:r>
      <w:r w:rsidR="004701F9">
        <w:rPr>
          <w:rFonts w:ascii="Times New Roman" w:hAnsi="Times New Roman" w:cs="Times New Roman"/>
        </w:rPr>
        <w:t>azaldığı (2,3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2015</w:t>
      </w:r>
      <w:r w:rsidRPr="002B5EAF">
        <w:rPr>
          <w:rFonts w:ascii="Times New Roman" w:hAnsi="Times New Roman" w:cs="Times New Roman"/>
        </w:rPr>
        <w:t xml:space="preserve"> yılının </w:t>
      </w:r>
      <w:r w:rsidR="004701F9">
        <w:rPr>
          <w:rFonts w:ascii="Times New Roman" w:hAnsi="Times New Roman" w:cs="Times New Roman"/>
        </w:rPr>
        <w:t>Ağustos</w:t>
      </w:r>
      <w:r w:rsidR="005132FC">
        <w:rPr>
          <w:rFonts w:ascii="Times New Roman" w:hAnsi="Times New Roman" w:cs="Times New Roman"/>
        </w:rPr>
        <w:t xml:space="preserve"> ayına göre yüzde </w:t>
      </w:r>
      <w:r w:rsidR="00AB3B74">
        <w:rPr>
          <w:rFonts w:ascii="Times New Roman" w:hAnsi="Times New Roman" w:cs="Times New Roman"/>
        </w:rPr>
        <w:t>6</w:t>
      </w:r>
      <w:r w:rsidRPr="002B5EAF">
        <w:rPr>
          <w:rFonts w:ascii="Times New Roman" w:hAnsi="Times New Roman" w:cs="Times New Roman"/>
        </w:rPr>
        <w:t xml:space="preserve"> oranında </w:t>
      </w:r>
      <w:r w:rsidR="00CC0799">
        <w:rPr>
          <w:rFonts w:ascii="Times New Roman" w:hAnsi="Times New Roman" w:cs="Times New Roman"/>
        </w:rPr>
        <w:t>azalarak</w:t>
      </w:r>
      <w:r w:rsidR="00DB0FFC">
        <w:rPr>
          <w:rFonts w:ascii="Times New Roman" w:hAnsi="Times New Roman" w:cs="Times New Roman"/>
        </w:rPr>
        <w:t xml:space="preserve"> (</w:t>
      </w:r>
      <w:r w:rsidR="00AB3B74">
        <w:rPr>
          <w:rFonts w:ascii="Times New Roman" w:hAnsi="Times New Roman" w:cs="Times New Roman"/>
        </w:rPr>
        <w:t>6,3</w:t>
      </w:r>
      <w:r w:rsidR="00BB0798">
        <w:rPr>
          <w:rFonts w:ascii="Times New Roman" w:hAnsi="Times New Roman" w:cs="Times New Roman"/>
        </w:rPr>
        <w:t xml:space="preserve"> 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AB3B74">
        <w:rPr>
          <w:rFonts w:ascii="Times New Roman" w:hAnsi="Times New Roman" w:cs="Times New Roman"/>
        </w:rPr>
        <w:t xml:space="preserve"> 98,1</w:t>
      </w:r>
      <w:r w:rsidR="00415908">
        <w:rPr>
          <w:rFonts w:ascii="Times New Roman" w:hAnsi="Times New Roman" w:cs="Times New Roman"/>
        </w:rPr>
        <w:t xml:space="preserve"> olurken, </w:t>
      </w:r>
      <w:r w:rsidR="00EE3747">
        <w:rPr>
          <w:rFonts w:ascii="Times New Roman" w:hAnsi="Times New Roman" w:cs="Times New Roman"/>
        </w:rPr>
        <w:t>2014</w:t>
      </w:r>
      <w:r w:rsidRPr="002B5EAF">
        <w:rPr>
          <w:rFonts w:ascii="Times New Roman" w:hAnsi="Times New Roman" w:cs="Times New Roman"/>
        </w:rPr>
        <w:t xml:space="preserve"> yılı </w:t>
      </w:r>
      <w:r w:rsidR="00AB3B74">
        <w:rPr>
          <w:rFonts w:ascii="Times New Roman" w:hAnsi="Times New Roman" w:cs="Times New Roman"/>
        </w:rPr>
        <w:t>Eylül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AB3B74">
        <w:rPr>
          <w:rFonts w:ascii="Times New Roman" w:hAnsi="Times New Roman" w:cs="Times New Roman"/>
        </w:rPr>
        <w:t>3,7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674F4A">
        <w:rPr>
          <w:rFonts w:ascii="Times New Roman" w:hAnsi="Times New Roman" w:cs="Times New Roman"/>
        </w:rPr>
        <w:t>3,</w:t>
      </w:r>
      <w:r w:rsidR="00AB3B74">
        <w:rPr>
          <w:rFonts w:ascii="Times New Roman" w:hAnsi="Times New Roman" w:cs="Times New Roman"/>
        </w:rPr>
        <w:t>7</w:t>
      </w:r>
      <w:r w:rsidR="00415908" w:rsidRPr="002B5EAF">
        <w:rPr>
          <w:rFonts w:ascii="Times New Roman" w:hAnsi="Times New Roman" w:cs="Times New Roman"/>
        </w:rPr>
        <w:t xml:space="preserve"> puan)</w:t>
      </w:r>
      <w:r w:rsidR="00415908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AB3B74">
        <w:rPr>
          <w:rFonts w:ascii="Times New Roman" w:hAnsi="Times New Roman" w:cs="Times New Roman"/>
          <w:sz w:val="22"/>
          <w:szCs w:val="22"/>
        </w:rPr>
        <w:t>Eylül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AB3B74">
        <w:rPr>
          <w:rFonts w:ascii="Times New Roman" w:hAnsi="Times New Roman" w:cs="Times New Roman"/>
          <w:sz w:val="22"/>
          <w:szCs w:val="22"/>
        </w:rPr>
        <w:t>Eylül</w:t>
      </w:r>
      <w:r w:rsidR="00CA571E">
        <w:rPr>
          <w:rFonts w:ascii="Times New Roman" w:hAnsi="Times New Roman" w:cs="Times New Roman"/>
          <w:sz w:val="22"/>
          <w:szCs w:val="22"/>
        </w:rPr>
        <w:t xml:space="preserve"> </w:t>
      </w:r>
      <w:r w:rsidR="00BB3B61">
        <w:rPr>
          <w:rFonts w:ascii="Times New Roman" w:hAnsi="Times New Roman" w:cs="Times New Roman"/>
          <w:sz w:val="22"/>
          <w:szCs w:val="22"/>
        </w:rPr>
        <w:t>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AB3B74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114873DC" wp14:editId="1FFDCC49">
            <wp:extent cx="5820770" cy="2511188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AB3B74">
        <w:rPr>
          <w:rFonts w:ascii="Times New Roman" w:hAnsi="Times New Roman" w:cs="Times New Roman"/>
        </w:rPr>
        <w:t>Ağustos</w:t>
      </w:r>
      <w:r w:rsidR="00B81743">
        <w:rPr>
          <w:rFonts w:ascii="Times New Roman" w:hAnsi="Times New Roman" w:cs="Times New Roman"/>
        </w:rPr>
        <w:t xml:space="preserve"> 2015</w:t>
      </w:r>
      <w:r w:rsidR="008F037C">
        <w:rPr>
          <w:rFonts w:ascii="Times New Roman" w:hAnsi="Times New Roman" w:cs="Times New Roman"/>
        </w:rPr>
        <w:t>’te 9</w:t>
      </w:r>
      <w:r w:rsidR="00CD23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puan olan iş durumunun, </w:t>
      </w:r>
      <w:r w:rsidR="00CD2398">
        <w:rPr>
          <w:rFonts w:ascii="Times New Roman" w:hAnsi="Times New Roman" w:cs="Times New Roman"/>
        </w:rPr>
        <w:t>Eylül</w:t>
      </w:r>
      <w:r>
        <w:rPr>
          <w:rFonts w:ascii="Times New Roman" w:hAnsi="Times New Roman" w:cs="Times New Roman"/>
        </w:rPr>
        <w:t xml:space="preserve"> a</w:t>
      </w:r>
      <w:r w:rsidR="00CD2398">
        <w:rPr>
          <w:rFonts w:ascii="Times New Roman" w:hAnsi="Times New Roman" w:cs="Times New Roman"/>
        </w:rPr>
        <w:t>yında yüzde 2,2</w:t>
      </w:r>
      <w:r w:rsidR="00EE168A">
        <w:rPr>
          <w:rFonts w:ascii="Times New Roman" w:hAnsi="Times New Roman" w:cs="Times New Roman"/>
        </w:rPr>
        <w:t xml:space="preserve"> oranında (</w:t>
      </w:r>
      <w:r w:rsidR="00CD2398">
        <w:rPr>
          <w:rFonts w:ascii="Times New Roman" w:hAnsi="Times New Roman" w:cs="Times New Roman"/>
        </w:rPr>
        <w:t>2</w:t>
      </w:r>
      <w:r w:rsidR="003C6B2D"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</w:rPr>
        <w:t xml:space="preserve"> puan) </w:t>
      </w:r>
      <w:r w:rsidR="003C6B2D">
        <w:rPr>
          <w:rFonts w:ascii="Times New Roman" w:hAnsi="Times New Roman" w:cs="Times New Roman"/>
        </w:rPr>
        <w:t>azalarak 93,</w:t>
      </w:r>
      <w:r w:rsidR="00CD239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CD2398">
        <w:rPr>
          <w:rFonts w:ascii="Times New Roman" w:hAnsi="Times New Roman" w:cs="Times New Roman"/>
        </w:rPr>
        <w:t>Eylül</w:t>
      </w:r>
      <w:r w:rsidR="003C0AB3">
        <w:rPr>
          <w:rFonts w:ascii="Times New Roman" w:hAnsi="Times New Roman" w:cs="Times New Roman"/>
        </w:rPr>
        <w:t xml:space="preserve"> 2015’te bir önceki aya göre</w:t>
      </w:r>
      <w:r w:rsidR="00CD2398">
        <w:rPr>
          <w:rFonts w:ascii="Times New Roman" w:hAnsi="Times New Roman" w:cs="Times New Roman"/>
        </w:rPr>
        <w:t xml:space="preserve"> 2</w:t>
      </w:r>
      <w:r w:rsidR="00890360">
        <w:rPr>
          <w:rFonts w:ascii="Times New Roman" w:hAnsi="Times New Roman" w:cs="Times New Roman"/>
        </w:rPr>
        <w:t>,</w:t>
      </w:r>
      <w:r w:rsidR="00CD23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puan </w:t>
      </w:r>
      <w:r w:rsidR="00647CB8">
        <w:rPr>
          <w:rFonts w:ascii="Times New Roman" w:hAnsi="Times New Roman" w:cs="Times New Roman"/>
        </w:rPr>
        <w:t>azalmış</w:t>
      </w:r>
      <w:r>
        <w:rPr>
          <w:rFonts w:ascii="Times New Roman" w:hAnsi="Times New Roman" w:cs="Times New Roman"/>
        </w:rPr>
        <w:t xml:space="preserve"> ve </w:t>
      </w:r>
      <w:r w:rsidR="003C6B2D">
        <w:rPr>
          <w:rFonts w:ascii="Times New Roman" w:hAnsi="Times New Roman" w:cs="Times New Roman"/>
        </w:rPr>
        <w:t>9</w:t>
      </w:r>
      <w:r w:rsidR="00CD2398">
        <w:rPr>
          <w:rFonts w:ascii="Times New Roman" w:hAnsi="Times New Roman" w:cs="Times New Roman"/>
        </w:rPr>
        <w:t>1,9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CD2398">
        <w:rPr>
          <w:rFonts w:ascii="Times New Roman" w:hAnsi="Times New Roman" w:cs="Times New Roman"/>
        </w:rPr>
        <w:t>Ağustos</w:t>
      </w:r>
      <w:r w:rsidR="003C0AB3">
        <w:rPr>
          <w:rFonts w:ascii="Times New Roman" w:hAnsi="Times New Roman" w:cs="Times New Roman"/>
        </w:rPr>
        <w:t xml:space="preserve"> 2015</w:t>
      </w:r>
      <w:r w:rsidR="003C6B2D">
        <w:rPr>
          <w:rFonts w:ascii="Times New Roman" w:hAnsi="Times New Roman" w:cs="Times New Roman"/>
        </w:rPr>
        <w:t xml:space="preserve">’te </w:t>
      </w:r>
      <w:r w:rsidR="00CD2398">
        <w:rPr>
          <w:rFonts w:ascii="Times New Roman" w:hAnsi="Times New Roman" w:cs="Times New Roman"/>
        </w:rPr>
        <w:t>94,6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CD2398">
        <w:rPr>
          <w:rFonts w:ascii="Times New Roman" w:hAnsi="Times New Roman" w:cs="Times New Roman"/>
        </w:rPr>
        <w:t>Eylül 2015’te yüzde 2</w:t>
      </w:r>
      <w:r>
        <w:rPr>
          <w:rFonts w:ascii="Times New Roman" w:hAnsi="Times New Roman" w:cs="Times New Roman"/>
        </w:rPr>
        <w:t xml:space="preserve"> oranında </w:t>
      </w:r>
      <w:r w:rsidR="00CD2398">
        <w:rPr>
          <w:rFonts w:ascii="Times New Roman" w:hAnsi="Times New Roman" w:cs="Times New Roman"/>
        </w:rPr>
        <w:t>azalmış</w:t>
      </w:r>
      <w:r w:rsidR="0067222E">
        <w:rPr>
          <w:rFonts w:ascii="Times New Roman" w:hAnsi="Times New Roman" w:cs="Times New Roman"/>
        </w:rPr>
        <w:t xml:space="preserve"> ve</w:t>
      </w:r>
      <w:r w:rsidR="00CD2398">
        <w:rPr>
          <w:rFonts w:ascii="Times New Roman" w:hAnsi="Times New Roman" w:cs="Times New Roman"/>
        </w:rPr>
        <w:t xml:space="preserve"> 107</w:t>
      </w:r>
      <w:r w:rsidR="003C6B2D">
        <w:rPr>
          <w:rFonts w:ascii="Times New Roman" w:hAnsi="Times New Roman" w:cs="Times New Roman"/>
        </w:rPr>
        <w:t>,2</w:t>
      </w:r>
      <w:r w:rsidR="003C0AB3">
        <w:rPr>
          <w:rFonts w:ascii="Times New Roman" w:hAnsi="Times New Roman" w:cs="Times New Roman"/>
        </w:rPr>
        <w:t xml:space="preserve"> 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7542F0">
        <w:fldChar w:fldCharType="begin"/>
      </w:r>
      <w:r w:rsidR="007542F0">
        <w:instrText xml:space="preserve"> SEQ Tablo \* ARABIC </w:instrText>
      </w:r>
      <w:r w:rsidR="007542F0">
        <w:fldChar w:fldCharType="separate"/>
      </w:r>
      <w:r>
        <w:rPr>
          <w:noProof/>
        </w:rPr>
        <w:t>2</w:t>
      </w:r>
      <w:r w:rsidR="007542F0">
        <w:rPr>
          <w:noProof/>
        </w:rPr>
        <w:fldChar w:fldCharType="end"/>
      </w:r>
      <w:r>
        <w:t>: Hizmet sektörü güven endeksi alt bileşenleri (</w:t>
      </w:r>
      <w:r w:rsidR="00CD2398">
        <w:t>Ağustos</w:t>
      </w:r>
      <w:r>
        <w:t>-</w:t>
      </w:r>
      <w:r w:rsidR="00CD2398">
        <w:t>Eylül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CD2398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Tem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0165C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CD2398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Eyl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CD239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CD239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</w:t>
            </w:r>
            <w:r w:rsidR="00D91A76">
              <w:rPr>
                <w:rFonts w:ascii="Calibri" w:eastAsia="Times New Roman" w:hAnsi="Calibri" w:cs="Times New Roman"/>
                <w:color w:val="000000"/>
              </w:rPr>
              <w:t>,7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CD239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D91A76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  <w:r w:rsidR="005131B0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CD239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CD2398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94,6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CD2398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91A76">
              <w:rPr>
                <w:rFonts w:ascii="Calibri" w:eastAsia="Times New Roman" w:hAnsi="Calibri" w:cs="Times New Roman"/>
                <w:color w:val="000000"/>
              </w:rPr>
              <w:t>09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CD239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CD2398" w:rsidP="00B7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91A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378BB"/>
    <w:rsid w:val="00041E14"/>
    <w:rsid w:val="00086B75"/>
    <w:rsid w:val="001026C6"/>
    <w:rsid w:val="00107F1F"/>
    <w:rsid w:val="0011679B"/>
    <w:rsid w:val="00161E0D"/>
    <w:rsid w:val="00165BA5"/>
    <w:rsid w:val="001B4B87"/>
    <w:rsid w:val="001C5D32"/>
    <w:rsid w:val="001F45C1"/>
    <w:rsid w:val="00200568"/>
    <w:rsid w:val="002005BA"/>
    <w:rsid w:val="00226F56"/>
    <w:rsid w:val="00233F6E"/>
    <w:rsid w:val="00264FA3"/>
    <w:rsid w:val="002701B7"/>
    <w:rsid w:val="00282CEF"/>
    <w:rsid w:val="002B5EAF"/>
    <w:rsid w:val="002C176D"/>
    <w:rsid w:val="002D467F"/>
    <w:rsid w:val="0037286A"/>
    <w:rsid w:val="00374EB7"/>
    <w:rsid w:val="00376705"/>
    <w:rsid w:val="003A4DE8"/>
    <w:rsid w:val="003A4E9E"/>
    <w:rsid w:val="003C0AB3"/>
    <w:rsid w:val="003C6B2D"/>
    <w:rsid w:val="003E7ABA"/>
    <w:rsid w:val="00414D32"/>
    <w:rsid w:val="00415908"/>
    <w:rsid w:val="004471C7"/>
    <w:rsid w:val="0045208A"/>
    <w:rsid w:val="004701F9"/>
    <w:rsid w:val="00472839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50581"/>
    <w:rsid w:val="005D1EB3"/>
    <w:rsid w:val="006178F0"/>
    <w:rsid w:val="00647A5C"/>
    <w:rsid w:val="00647CB8"/>
    <w:rsid w:val="00660880"/>
    <w:rsid w:val="0067222E"/>
    <w:rsid w:val="00674F4A"/>
    <w:rsid w:val="006934C1"/>
    <w:rsid w:val="006D6C3C"/>
    <w:rsid w:val="006F23D8"/>
    <w:rsid w:val="00703D10"/>
    <w:rsid w:val="0071356F"/>
    <w:rsid w:val="00722F2F"/>
    <w:rsid w:val="00734FA4"/>
    <w:rsid w:val="00735C81"/>
    <w:rsid w:val="00746DDE"/>
    <w:rsid w:val="007542F0"/>
    <w:rsid w:val="00756E1D"/>
    <w:rsid w:val="007A61BB"/>
    <w:rsid w:val="007B5C52"/>
    <w:rsid w:val="007C40D1"/>
    <w:rsid w:val="008071E5"/>
    <w:rsid w:val="008212B1"/>
    <w:rsid w:val="00890360"/>
    <w:rsid w:val="008A3853"/>
    <w:rsid w:val="008B29F9"/>
    <w:rsid w:val="008C3A4E"/>
    <w:rsid w:val="008F037C"/>
    <w:rsid w:val="008F6EF4"/>
    <w:rsid w:val="00931BB6"/>
    <w:rsid w:val="00960957"/>
    <w:rsid w:val="00981E48"/>
    <w:rsid w:val="009B6A7A"/>
    <w:rsid w:val="009C52AE"/>
    <w:rsid w:val="009C7E77"/>
    <w:rsid w:val="00A00243"/>
    <w:rsid w:val="00A17C8D"/>
    <w:rsid w:val="00A2299A"/>
    <w:rsid w:val="00A270E3"/>
    <w:rsid w:val="00A332D6"/>
    <w:rsid w:val="00A928AB"/>
    <w:rsid w:val="00AB3B74"/>
    <w:rsid w:val="00AD0348"/>
    <w:rsid w:val="00AD6B7D"/>
    <w:rsid w:val="00AE146A"/>
    <w:rsid w:val="00B050DB"/>
    <w:rsid w:val="00B22A6C"/>
    <w:rsid w:val="00B77501"/>
    <w:rsid w:val="00B81204"/>
    <w:rsid w:val="00B81743"/>
    <w:rsid w:val="00B81FEA"/>
    <w:rsid w:val="00BA0AF0"/>
    <w:rsid w:val="00BA3D68"/>
    <w:rsid w:val="00BB0798"/>
    <w:rsid w:val="00BB3B61"/>
    <w:rsid w:val="00BC452F"/>
    <w:rsid w:val="00BE14F5"/>
    <w:rsid w:val="00C0378F"/>
    <w:rsid w:val="00C03934"/>
    <w:rsid w:val="00C04185"/>
    <w:rsid w:val="00C51B65"/>
    <w:rsid w:val="00CA571E"/>
    <w:rsid w:val="00CA5ACC"/>
    <w:rsid w:val="00CC05F5"/>
    <w:rsid w:val="00CC0799"/>
    <w:rsid w:val="00CD2398"/>
    <w:rsid w:val="00CE566F"/>
    <w:rsid w:val="00D00F4A"/>
    <w:rsid w:val="00D11DC0"/>
    <w:rsid w:val="00D30BE9"/>
    <w:rsid w:val="00D41704"/>
    <w:rsid w:val="00D91A76"/>
    <w:rsid w:val="00DB0FFC"/>
    <w:rsid w:val="00DC3CEB"/>
    <w:rsid w:val="00DE3127"/>
    <w:rsid w:val="00DF240C"/>
    <w:rsid w:val="00E12C81"/>
    <w:rsid w:val="00E14F76"/>
    <w:rsid w:val="00E22179"/>
    <w:rsid w:val="00E326F7"/>
    <w:rsid w:val="00EA5332"/>
    <w:rsid w:val="00EB0C4D"/>
    <w:rsid w:val="00EB68C0"/>
    <w:rsid w:val="00EE168A"/>
    <w:rsid w:val="00EE3747"/>
    <w:rsid w:val="00F2387A"/>
    <w:rsid w:val="00F41309"/>
    <w:rsid w:val="00F5267F"/>
    <w:rsid w:val="00F66CF6"/>
    <w:rsid w:val="00F73F8D"/>
    <w:rsid w:val="00F91EC1"/>
    <w:rsid w:val="00FB149D"/>
    <w:rsid w:val="00FB558C"/>
    <w:rsid w:val="00FC6C44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6372932171676556746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6770120901329005953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0785476813367E-2"/>
          <c:y val="5.1400554097404488E-2"/>
          <c:w val="0.67417079118095036"/>
          <c:h val="0.79998833479148435"/>
        </c:manualLayout>
      </c:layout>
      <c:lineChart>
        <c:grouping val="standard"/>
        <c:varyColors val="0"/>
        <c:ser>
          <c:idx val="0"/>
          <c:order val="0"/>
          <c:tx>
            <c:strRef>
              <c:f>'[6372932171676556746..xls]Sayfa1'!$D$5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'[6372932171676556746..xls]Sayfa1'!$E$4:$Q$4</c:f>
              <c:numCache>
                <c:formatCode>mmm\-yy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'[6372932171676556746..xls]Sayfa1'!$E$5:$Q$5</c:f>
              <c:numCache>
                <c:formatCode>0.0</c:formatCode>
                <c:ptCount val="13"/>
                <c:pt idx="0">
                  <c:v>84.050224500342495</c:v>
                </c:pt>
                <c:pt idx="1">
                  <c:v>81.815258153320045</c:v>
                </c:pt>
                <c:pt idx="2">
                  <c:v>83.056158004630149</c:v>
                </c:pt>
                <c:pt idx="3">
                  <c:v>83.341962055706404</c:v>
                </c:pt>
                <c:pt idx="4">
                  <c:v>82.495998031245648</c:v>
                </c:pt>
                <c:pt idx="5">
                  <c:v>84.80911208642155</c:v>
                </c:pt>
                <c:pt idx="6">
                  <c:v>83.494101198895748</c:v>
                </c:pt>
                <c:pt idx="7">
                  <c:v>81.224280590442248</c:v>
                </c:pt>
                <c:pt idx="8">
                  <c:v>83.569985422627298</c:v>
                </c:pt>
                <c:pt idx="9">
                  <c:v>84.834060720330257</c:v>
                </c:pt>
                <c:pt idx="10">
                  <c:v>82.50317988906005</c:v>
                </c:pt>
                <c:pt idx="11">
                  <c:v>82.101804592944006</c:v>
                </c:pt>
                <c:pt idx="12">
                  <c:v>80.369703496966395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'[6372932171676556746..xls]Sayfa1'!$D$6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'[6372932171676556746..xls]Sayfa1'!$E$4:$Q$4</c:f>
              <c:numCache>
                <c:formatCode>mmm\-yy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'[6372932171676556746..xls]Sayfa1'!$E$6:$Q$6</c:f>
              <c:numCache>
                <c:formatCode>0.0</c:formatCode>
                <c:ptCount val="13"/>
                <c:pt idx="0">
                  <c:v>80.9284085041851</c:v>
                </c:pt>
                <c:pt idx="1">
                  <c:v>74.846235557199606</c:v>
                </c:pt>
                <c:pt idx="2">
                  <c:v>75.944942703521903</c:v>
                </c:pt>
                <c:pt idx="3">
                  <c:v>73.489662247233198</c:v>
                </c:pt>
                <c:pt idx="4">
                  <c:v>81.092537142537495</c:v>
                </c:pt>
                <c:pt idx="5">
                  <c:v>87.528411968771593</c:v>
                </c:pt>
                <c:pt idx="6">
                  <c:v>89.874190311685496</c:v>
                </c:pt>
                <c:pt idx="7">
                  <c:v>88.786938905225668</c:v>
                </c:pt>
                <c:pt idx="8">
                  <c:v>89.941936195351602</c:v>
                </c:pt>
                <c:pt idx="9">
                  <c:v>88.700339250451407</c:v>
                </c:pt>
                <c:pt idx="10">
                  <c:v>84.087699148517103</c:v>
                </c:pt>
                <c:pt idx="11">
                  <c:v>82.092273965283596</c:v>
                </c:pt>
                <c:pt idx="12">
                  <c:v>77.232139742769505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65728"/>
        <c:axId val="101871616"/>
      </c:lineChart>
      <c:dateAx>
        <c:axId val="101865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01871616"/>
        <c:crosses val="autoZero"/>
        <c:auto val="1"/>
        <c:lblOffset val="100"/>
        <c:baseTimeUnit val="months"/>
      </c:dateAx>
      <c:valAx>
        <c:axId val="1018716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0186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5927979302887"/>
          <c:y val="0.31519028871391069"/>
          <c:w val="0.22344540614304201"/>
          <c:h val="0.4774402640541156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111895848830998E-2"/>
          <c:y val="5.1400554097404488E-2"/>
          <c:w val="0.71092414451902863"/>
          <c:h val="0.80342123395425336"/>
        </c:manualLayout>
      </c:layout>
      <c:lineChart>
        <c:grouping val="standard"/>
        <c:varyColors val="0"/>
        <c:ser>
          <c:idx val="0"/>
          <c:order val="0"/>
          <c:tx>
            <c:strRef>
              <c:f>'[6770120901329005953..xls]Sayfa1'!$D$5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'[6770120901329005953..xls]Sayfa1'!$E$4:$Q$4</c:f>
              <c:numCache>
                <c:formatCode>mmm\-yy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'[6770120901329005953..xls]Sayfa1'!$E$5:$Q$5</c:f>
              <c:numCache>
                <c:formatCode>0.0</c:formatCode>
                <c:ptCount val="13"/>
                <c:pt idx="0">
                  <c:v>100.91149780333332</c:v>
                </c:pt>
                <c:pt idx="1">
                  <c:v>99.192805653333338</c:v>
                </c:pt>
                <c:pt idx="2">
                  <c:v>98.047529946666671</c:v>
                </c:pt>
                <c:pt idx="3">
                  <c:v>98.898183943333336</c:v>
                </c:pt>
                <c:pt idx="4">
                  <c:v>100.82466724333334</c:v>
                </c:pt>
                <c:pt idx="5">
                  <c:v>101.53097776999999</c:v>
                </c:pt>
                <c:pt idx="6">
                  <c:v>100.82713622333334</c:v>
                </c:pt>
                <c:pt idx="7">
                  <c:v>100.29259026666666</c:v>
                </c:pt>
                <c:pt idx="8">
                  <c:v>100.43621009666667</c:v>
                </c:pt>
                <c:pt idx="9">
                  <c:v>98.99177239666669</c:v>
                </c:pt>
                <c:pt idx="10">
                  <c:v>100.60797804333333</c:v>
                </c:pt>
                <c:pt idx="11">
                  <c:v>99.992032559999998</c:v>
                </c:pt>
                <c:pt idx="12">
                  <c:v>97.666307360000005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'[6770120901329005953..xls]Sayfa1'!$D$6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'[6770120901329005953..xls]Sayfa1'!$E$4:$Q$4</c:f>
              <c:numCache>
                <c:formatCode>mmm\-yy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'[6770120901329005953..xls]Sayfa1'!$E$6:$Q$6</c:f>
              <c:numCache>
                <c:formatCode>0.0</c:formatCode>
                <c:ptCount val="13"/>
                <c:pt idx="0">
                  <c:v>101.856218110916</c:v>
                </c:pt>
                <c:pt idx="1">
                  <c:v>98.382789202470605</c:v>
                </c:pt>
                <c:pt idx="2">
                  <c:v>91.113463503082599</c:v>
                </c:pt>
                <c:pt idx="3">
                  <c:v>89.521856079014</c:v>
                </c:pt>
                <c:pt idx="4">
                  <c:v>94.840876380301907</c:v>
                </c:pt>
                <c:pt idx="5">
                  <c:v>99.785975992814699</c:v>
                </c:pt>
                <c:pt idx="6">
                  <c:v>100.581431364108</c:v>
                </c:pt>
                <c:pt idx="7">
                  <c:v>105.5917942144827</c:v>
                </c:pt>
                <c:pt idx="8">
                  <c:v>107.699414980374</c:v>
                </c:pt>
                <c:pt idx="9">
                  <c:v>104.98806283929</c:v>
                </c:pt>
                <c:pt idx="10">
                  <c:v>102.976772174286</c:v>
                </c:pt>
                <c:pt idx="11">
                  <c:v>104.39982479602401</c:v>
                </c:pt>
                <c:pt idx="12">
                  <c:v>98.119917460016495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274624"/>
        <c:axId val="171276160"/>
      </c:lineChart>
      <c:dateAx>
        <c:axId val="1712746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71276160"/>
        <c:crosses val="autoZero"/>
        <c:auto val="1"/>
        <c:lblOffset val="100"/>
        <c:baseTimeUnit val="months"/>
      </c:dateAx>
      <c:valAx>
        <c:axId val="1712761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7127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54662644040542"/>
          <c:y val="0.19481991834354034"/>
          <c:w val="0.18537135121298384"/>
          <c:h val="0.41128608923884513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B2411-E6EA-42C9-A135-EDD55049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Aysegul</cp:lastModifiedBy>
  <cp:revision>6</cp:revision>
  <dcterms:created xsi:type="dcterms:W3CDTF">2015-09-28T10:59:00Z</dcterms:created>
  <dcterms:modified xsi:type="dcterms:W3CDTF">2015-09-28T12:56:00Z</dcterms:modified>
</cp:coreProperties>
</file>